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2C3E50"/>
          <w:sz w:val="44"/>
          <w:szCs w:val="44"/>
        </w:rPr>
        <w:t xml:space="preserve">MARCUS CHEN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San Francisco, CA 94102 | (415) 555-8742 | marcus.chen@email.com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4169E1"/>
          <w:sz w:val="18"/>
          <w:szCs w:val="18"/>
        </w:rPr>
        <w:t xml:space="preserve">linkedin.com/in/marcuschen-neteng</w:t>
      </w:r>
    </w:p>
    <w:p>
      <w:pPr>
        <w:pBdr>
          <w:bottom w:val="single" w:color="2C3E50" w:sz="6"/>
        </w:pBdr>
        <w:spacing w:before="8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SUMMARY</w:t>
      </w:r>
    </w:p>
    <w:p>
      <w:pPr>
        <w:spacing w:before="80" w:after="8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CCNP-certified Network Engineer with 6+ years of experience designing, implementing, and maintaining enterprise network infrastructure. Proven track record of improving network uptime to 99.9% and reducing security incidents by 35%. Skilled in Cisco, Juniper, and cloud networking solutions with expertise in SD-WAN implementation and network automation using Python.</w:t>
      </w:r>
    </w:p>
    <w:p>
      <w:pPr>
        <w:pBdr>
          <w:bottom w:val="single" w:color="2C3E50" w:sz="6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CORE SKILLS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Networking Protocols: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TCP/IP, BGP, OSPF, EIGRP, MPLS, VPN, DNS, DHCP, IPv4/IPv6</w:t>
      </w:r>
    </w:p>
    <w:p>
      <w:pPr>
        <w:spacing w:before="20"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Hardware &amp; Software: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Cisco Routers/Switches, Juniper, Palo Alto Firewalls, Meraki, Wireshark, SolarWinds</w:t>
      </w:r>
    </w:p>
    <w:p>
      <w:pPr>
        <w:spacing w:before="20"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Cloud &amp; Automation: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AWS VPC, Azure Networking, Ansible, Python, Terraform, SD-WAN</w:t>
      </w:r>
    </w:p>
    <w:p>
      <w:pPr>
        <w:pBdr>
          <w:bottom w:val="single" w:color="2C3E50" w:sz="6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Senior Network Engineer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Jan 2022 – Present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TechVision Solutions, San Francisco, CA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Architected and deployed SD-WAN solution across 45 branch offices, reducing WAN costs by 40% and improving application performance by 60%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Led migration of on-premises infrastructure to hybrid cloud, integrating AWS VPC with existing Cisco environment serving 2,500+ users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Implemented network automation using Ansible and Python, reducing configuration deployment time from 4 hours to 15 minutes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Achieved 99.9% network uptime through proactive monitoring with SolarWinds and implementing redundant failover systems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Network Engineer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Mar 2019 – Dec 2021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DataStream Networks, Oakland, CA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Managed enterprise network infrastructure supporting 1,200+ endpoints across 3 data centers with 99.7% availability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Configured and maintained Palo Alto firewalls and Cisco ASA, reducing security incidents by 35% year-over-year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Designed and implemented VPN solutions for 500+ remote workers during rapid transition to hybrid work environment</w:t>
      </w:r>
    </w:p>
    <w:p>
      <w:pPr>
        <w:pBdr>
          <w:bottom w:val="single" w:color="2C3E50" w:sz="6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8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Bachelor of Science in Information Technology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May 2018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San Jose State University, San Jose, CA</w:t>
      </w:r>
    </w:p>
    <w:p>
      <w:pPr>
        <w:pBdr>
          <w:bottom w:val="single" w:color="2C3E50" w:sz="6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CERTIFICATIONS</w:t>
      </w:r>
    </w:p>
    <w:p>
      <w:pPr>
        <w:spacing w:before="80" w:after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Cisco Certified Network Professional (CCNP) Enterprise | Cisco Certified Network Associate (CCNA) | AWS Certified Solutions Architect – Associate | CompTIA Security+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2025-11-26T16:15:01.380Z</dcterms:created>
  <dcterms:modified xsi:type="dcterms:W3CDTF">2025-11-26T16:15:01.381Z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