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0902" w14:textId="77777777" w:rsidR="00B76677" w:rsidRDefault="00000000"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Mitchell</w:t>
      </w:r>
    </w:p>
    <w:p w14:paraId="416291B4" w14:textId="77777777" w:rsidR="00B76677" w:rsidRDefault="00000000"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Diego, CA  •  (858) 555-7834  •  sarah.mitchell@email.com</w:t>
      </w:r>
    </w:p>
    <w:p w14:paraId="7D7C8984" w14:textId="77777777" w:rsidR="00B76677" w:rsidRDefault="00000000"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linkedin.com/in/sarahmitchell</w:t>
      </w:r>
    </w:p>
    <w:p w14:paraId="255B6037" w14:textId="77777777" w:rsidR="005159FB" w:rsidRDefault="005159FB">
      <w:pPr>
        <w:pBdr>
          <w:bottom w:val="single" w:sz="6" w:space="1" w:color="2C3E50"/>
        </w:pBdr>
        <w:spacing w:before="80" w:after="0"/>
        <w:rPr>
          <w:rFonts w:ascii="Calibri" w:hAnsi="Calibri"/>
          <w:b/>
          <w:color w:val="2C3E50"/>
        </w:rPr>
      </w:pPr>
    </w:p>
    <w:p w14:paraId="2DB49912" w14:textId="53B36CA2" w:rsidR="00B76677" w:rsidRDefault="00000000">
      <w:pPr>
        <w:pBdr>
          <w:bottom w:val="single" w:sz="6" w:space="1" w:color="2C3E50"/>
        </w:pBdr>
        <w:spacing w:before="80" w:after="0"/>
      </w:pPr>
      <w:r>
        <w:rPr>
          <w:rFonts w:ascii="Calibri" w:hAnsi="Calibri"/>
          <w:b/>
          <w:color w:val="2C3E50"/>
        </w:rPr>
        <w:t>PROFESSIONAL SUMMARY</w:t>
      </w:r>
    </w:p>
    <w:p w14:paraId="046114CB" w14:textId="77777777" w:rsidR="00B76677" w:rsidRDefault="00000000">
      <w:pPr>
        <w:spacing w:before="80" w:after="20"/>
      </w:pPr>
      <w:r>
        <w:rPr>
          <w:rFonts w:ascii="Calibri" w:hAnsi="Calibri"/>
          <w:color w:val="2C3E50"/>
          <w:sz w:val="19"/>
        </w:rPr>
        <w:t>Detail-oriented CPA with 5+ years of experience in financial reporting, audit preparation, and tax compliance. Proven track record of reducing month-end close time by 30% and identifying cost savings totaling $250K annually. Proficient in QuickBooks, SAP, and Excel with expertise in GAAP and SOX compliance.</w:t>
      </w:r>
    </w:p>
    <w:p w14:paraId="79FB71B4" w14:textId="77777777" w:rsidR="005159FB" w:rsidRDefault="005159FB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1B676DA4" w14:textId="3D86DDE5" w:rsidR="00B76677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CORE SKILLS</w:t>
      </w:r>
    </w:p>
    <w:p w14:paraId="69E5E166" w14:textId="77777777" w:rsidR="00B76677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Accounting: </w:t>
      </w:r>
      <w:r>
        <w:rPr>
          <w:rFonts w:ascii="Calibri" w:hAnsi="Calibri"/>
          <w:color w:val="2C3E50"/>
          <w:sz w:val="19"/>
        </w:rPr>
        <w:t>General Ledger, Account Reconciliation, Month-End Close, Financial Statement Preparation</w:t>
      </w:r>
    </w:p>
    <w:p w14:paraId="3305086E" w14:textId="77777777" w:rsidR="00B76677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Skills: </w:t>
      </w:r>
      <w:r>
        <w:rPr>
          <w:rFonts w:ascii="Calibri" w:hAnsi="Calibri"/>
          <w:color w:val="2C3E50"/>
          <w:sz w:val="19"/>
        </w:rPr>
        <w:t>QuickBooks, SAP, Oracle NetSuite, Microsoft Excel (Advanced), Tableau</w:t>
      </w:r>
    </w:p>
    <w:p w14:paraId="63213FE5" w14:textId="77777777" w:rsidR="00B76677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Compliance &amp; Reporting: </w:t>
      </w:r>
      <w:r>
        <w:rPr>
          <w:rFonts w:ascii="Calibri" w:hAnsi="Calibri"/>
          <w:color w:val="2C3E50"/>
          <w:sz w:val="19"/>
        </w:rPr>
        <w:t>GAAP, SOX Compliance, Internal Controls, Audit Support, Tax Preparation</w:t>
      </w:r>
    </w:p>
    <w:p w14:paraId="0D9D2F87" w14:textId="77777777" w:rsidR="00B76677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Soft Skills: </w:t>
      </w:r>
      <w:r>
        <w:rPr>
          <w:rFonts w:ascii="Calibri" w:hAnsi="Calibri"/>
          <w:color w:val="2C3E50"/>
          <w:sz w:val="19"/>
        </w:rPr>
        <w:t>Problem-Solving, Attention to Detail, Team Collaboration, Time Management</w:t>
      </w:r>
    </w:p>
    <w:p w14:paraId="205DBC9F" w14:textId="77777777" w:rsidR="005159FB" w:rsidRDefault="005159FB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623500C5" w14:textId="3E460C96" w:rsidR="00B76677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PROFESSIONAL EXPERIENCE</w:t>
      </w:r>
    </w:p>
    <w:p w14:paraId="266B5E49" w14:textId="77777777" w:rsidR="00B76677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Accountant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June 2022 – Present</w:t>
      </w:r>
    </w:p>
    <w:p w14:paraId="000CCC66" w14:textId="77777777" w:rsidR="00B76677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TechForward Solutions, San Diego, CA</w:t>
      </w:r>
    </w:p>
    <w:p w14:paraId="060A092D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Reduced month-end close process from 10 days to 7 days by implementing automated reconciliation procedures</w:t>
      </w:r>
    </w:p>
    <w:p w14:paraId="4A0EA597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Prepared consolidated financial statements for $50M revenue company ensuring 100% GAAP compliance</w:t>
      </w:r>
    </w:p>
    <w:p w14:paraId="2EF379BA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Led successful SOX audit with zero material weaknesses by strengthening internal controls framework</w:t>
      </w:r>
    </w:p>
    <w:p w14:paraId="4D919D1A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Identified and recovered $85K in duplicate vendor payments through enhanced accounts payable review procedures</w:t>
      </w:r>
    </w:p>
    <w:p w14:paraId="6644C1B0" w14:textId="77777777" w:rsidR="00B76677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Staff Accountant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August 2020 – May 2022</w:t>
      </w:r>
    </w:p>
    <w:p w14:paraId="76C77592" w14:textId="77777777" w:rsidR="00B76677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Precision Financial Group, San Diego, CA</w:t>
      </w:r>
    </w:p>
    <w:p w14:paraId="5CF64CCF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Managed full-cycle accounts payable and receivable for 200+ vendor accounts with 98% accuracy rate</w:t>
      </w:r>
    </w:p>
    <w:p w14:paraId="6FED9B41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Assisted with quarterly tax preparation resulting in $165K in tax savings through strategic deduction planning</w:t>
      </w:r>
    </w:p>
    <w:p w14:paraId="096A08B3" w14:textId="77777777" w:rsidR="00B76677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Created financial dashboard using Excel and Tableau reducing reporting time by 40%</w:t>
      </w:r>
    </w:p>
    <w:p w14:paraId="481996AE" w14:textId="77777777" w:rsidR="005159FB" w:rsidRDefault="005159FB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43DC66B6" w14:textId="4719E957" w:rsidR="00B76677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EDUCATION</w:t>
      </w:r>
    </w:p>
    <w:p w14:paraId="795D29FB" w14:textId="77777777" w:rsidR="00B76677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Accounting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Graduated May 2020</w:t>
      </w:r>
    </w:p>
    <w:p w14:paraId="06208889" w14:textId="77777777" w:rsidR="00B76677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Diego State University  •  GPA: 3.8/4.0  •  Magna Cum Laude</w:t>
      </w:r>
    </w:p>
    <w:p w14:paraId="2AED6F9C" w14:textId="77777777" w:rsidR="005159FB" w:rsidRDefault="005159FB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2922971C" w14:textId="18B67684" w:rsidR="00B76677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CERTIFICATIONS</w:t>
      </w:r>
    </w:p>
    <w:p w14:paraId="2F0BCE83" w14:textId="77777777" w:rsidR="00B76677" w:rsidRDefault="00000000">
      <w:pPr>
        <w:spacing w:before="80" w:after="20"/>
      </w:pPr>
      <w:r>
        <w:rPr>
          <w:rFonts w:ascii="Calibri" w:hAnsi="Calibri"/>
          <w:color w:val="2C3E50"/>
          <w:sz w:val="19"/>
        </w:rPr>
        <w:t>Certified Public Accountant (CPA)  •  California Board of Accountancy  •  License #123456</w:t>
      </w:r>
    </w:p>
    <w:sectPr w:rsidR="00B76677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75990">
    <w:abstractNumId w:val="8"/>
  </w:num>
  <w:num w:numId="2" w16cid:durableId="1129514649">
    <w:abstractNumId w:val="6"/>
  </w:num>
  <w:num w:numId="3" w16cid:durableId="424769331">
    <w:abstractNumId w:val="5"/>
  </w:num>
  <w:num w:numId="4" w16cid:durableId="682441156">
    <w:abstractNumId w:val="4"/>
  </w:num>
  <w:num w:numId="5" w16cid:durableId="1895769921">
    <w:abstractNumId w:val="7"/>
  </w:num>
  <w:num w:numId="6" w16cid:durableId="578291869">
    <w:abstractNumId w:val="3"/>
  </w:num>
  <w:num w:numId="7" w16cid:durableId="236401632">
    <w:abstractNumId w:val="2"/>
  </w:num>
  <w:num w:numId="8" w16cid:durableId="633028089">
    <w:abstractNumId w:val="1"/>
  </w:num>
  <w:num w:numId="9" w16cid:durableId="138930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59FB"/>
    <w:rsid w:val="007453D6"/>
    <w:rsid w:val="00AA1D8D"/>
    <w:rsid w:val="00B47730"/>
    <w:rsid w:val="00B766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0C33B"/>
  <w14:defaultImageDpi w14:val="300"/>
  <w15:docId w15:val="{71C6855D-0D3F-44E1-8C08-CC143F9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2025-10-27T21:41:00Z</dcterms:modified>
  <cp:category/>
</cp:coreProperties>
</file>